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A187">
      <w:pPr>
        <w:widowControl w:val="0"/>
        <w:numPr>
          <w:ilvl w:val="0"/>
          <w:numId w:val="0"/>
        </w:numPr>
        <w:spacing w:line="360" w:lineRule="auto"/>
        <w:ind w:firstLine="1205" w:firstLineChars="50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  <w:t>根据浙价医〔2015〕137号文件精神，我院</w:t>
      </w:r>
      <w:r>
        <w:rPr>
          <w:rFonts w:hint="eastAsia" w:ascii="宋体" w:hAnsi="宋体" w:cs="仿宋_GB2312"/>
          <w:b/>
          <w:bCs/>
          <w:sz w:val="24"/>
          <w:szCs w:val="24"/>
          <w:lang w:val="en-US" w:eastAsia="zh-CN"/>
        </w:rPr>
        <w:t>对</w:t>
      </w:r>
      <w:r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  <w:t>新增的特需医疗服务项目价格进行公示，公示期为10个工作日</w:t>
      </w:r>
    </w:p>
    <w:p w14:paraId="732DE8BF">
      <w:pPr>
        <w:widowControl w:val="0"/>
        <w:numPr>
          <w:ilvl w:val="0"/>
          <w:numId w:val="0"/>
        </w:numPr>
        <w:spacing w:line="360" w:lineRule="auto"/>
        <w:ind w:left="5299" w:leftChars="114" w:hanging="5060" w:hangingChars="2100"/>
        <w:jc w:val="both"/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  <w:t xml:space="preserve">                                                                         联系电话：88913962  医保办</w:t>
      </w:r>
    </w:p>
    <w:p w14:paraId="65C3676D">
      <w:pPr>
        <w:widowControl w:val="0"/>
        <w:numPr>
          <w:ilvl w:val="0"/>
          <w:numId w:val="0"/>
        </w:numPr>
        <w:spacing w:line="360" w:lineRule="auto"/>
        <w:ind w:left="5299" w:leftChars="114" w:hanging="5060" w:hangingChars="2100"/>
        <w:jc w:val="both"/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48AEFF91">
      <w:pPr>
        <w:widowControl w:val="0"/>
        <w:numPr>
          <w:ilvl w:val="0"/>
          <w:numId w:val="0"/>
        </w:numPr>
        <w:spacing w:line="360" w:lineRule="auto"/>
        <w:ind w:left="5299" w:leftChars="114" w:hanging="5060" w:hangingChars="2100"/>
        <w:jc w:val="both"/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0889DA1E">
      <w:pPr>
        <w:widowControl w:val="0"/>
        <w:numPr>
          <w:ilvl w:val="0"/>
          <w:numId w:val="0"/>
        </w:numPr>
        <w:spacing w:line="360" w:lineRule="auto"/>
        <w:ind w:left="5299" w:leftChars="114" w:hanging="5060" w:hangingChars="2100"/>
        <w:jc w:val="both"/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132646E7">
      <w:pPr>
        <w:widowControl w:val="0"/>
        <w:numPr>
          <w:ilvl w:val="0"/>
          <w:numId w:val="0"/>
        </w:numPr>
        <w:spacing w:line="360" w:lineRule="auto"/>
        <w:ind w:left="5299" w:leftChars="114" w:hanging="5060" w:hangingChars="2100"/>
        <w:jc w:val="both"/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</w:pPr>
    </w:p>
    <w:tbl>
      <w:tblPr>
        <w:tblStyle w:val="2"/>
        <w:tblW w:w="14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834"/>
        <w:gridCol w:w="5000"/>
        <w:gridCol w:w="2683"/>
        <w:gridCol w:w="1950"/>
        <w:gridCol w:w="800"/>
        <w:gridCol w:w="1233"/>
      </w:tblGrid>
      <w:tr w14:paraId="6757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333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3579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E80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33E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4E7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拟定单价（元）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60EB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A3F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他院参考</w:t>
            </w:r>
          </w:p>
        </w:tc>
      </w:tr>
      <w:tr w14:paraId="65EE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6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33A0005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0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家庭医护保健服务（基础健康监测）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对门诊或住院患者诊后特定可穿戴设备核心健康数据接入，数据采集后同步到医院HIS系统，实现基础健康监测，构建标准化个人健康数据档案，提供营养运动方案，助力患者养成健康习惯，并针对异常监测数据进行及时提醒，以便患者做出合适医疗或健康措施。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所定价格涵盖设备准备，数据采集，观察患者反馈等步骤所需人力资源和基本物资资源消耗。（可穿戴设备需自购）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C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1FCEFE">
      <w:pPr>
        <w:widowControl w:val="0"/>
        <w:numPr>
          <w:ilvl w:val="0"/>
          <w:numId w:val="0"/>
        </w:numPr>
        <w:spacing w:line="360" w:lineRule="auto"/>
        <w:ind w:left="5299" w:leftChars="114" w:hanging="5060" w:hangingChars="2100"/>
        <w:jc w:val="both"/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2ECCACA7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60A4B928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710A692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2026-06-26T09:01:58Z</dcterms:created>
  <dc:creator>ZXY</dc:creator>
  <cp:lastModifiedBy>邵海燕</cp:lastModifiedBy>
  <dcterms:modified xsi:type="dcterms:W3CDTF">2026-06-26T09:02:15Z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eyJoZGlkIjoiZDc4NGZkNmUyNmNjYzQ1OTFjYjg2NmI5YjkzNjcyYjEiLCJ1c2VySWQiOiIxNjMyNTMzMDQ5In0=</vt:lpwstr>
  </property>
  <property fmtid="{D5CDD505-2E9C-101B-9397-08002B2CF9AE}" pid="4" name="ICV">
    <vt:lpwstr>9D566F12BB704F3FA35C77DF79A32292_12</vt:lpwstr>
  </property>
</Properties>
</file>